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844B" w14:textId="2B74C22D" w:rsidR="008E4B6F" w:rsidRDefault="008E4B6F" w:rsidP="00246EE2">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p>
    <w:p w14:paraId="627A5637" w14:textId="0D2E5FB3" w:rsidR="00A65C72" w:rsidRPr="00A05093" w:rsidRDefault="0040631E" w:rsidP="002D4CCA">
      <w:pPr>
        <w:pStyle w:val="Kop1"/>
        <w:rPr>
          <w:rFonts w:ascii="Avenir Next" w:hAnsi="Avenir Next"/>
          <w:color w:val="000000" w:themeColor="text1"/>
          <w:sz w:val="26"/>
          <w:szCs w:val="28"/>
          <w:lang w:val="en-US"/>
        </w:rPr>
      </w:pPr>
      <w:r w:rsidRPr="0040631E">
        <w:rPr>
          <w:rFonts w:ascii="Avenir Next" w:hAnsi="Avenir Next"/>
          <w:color w:val="000000" w:themeColor="text1"/>
          <w:sz w:val="26"/>
          <w:szCs w:val="28"/>
          <w:lang w:val="en-US"/>
        </w:rPr>
        <w:t>Innovation and sustainability help Bleckmann to rank in the Top-10 of leading LSPs 2020</w:t>
      </w:r>
    </w:p>
    <w:p w14:paraId="0A4A7152" w14:textId="77777777" w:rsidR="00A65C72" w:rsidRDefault="00A65C72" w:rsidP="00A65C72">
      <w:pPr>
        <w:rPr>
          <w:lang w:val="en-US"/>
        </w:rPr>
      </w:pPr>
    </w:p>
    <w:p w14:paraId="64EA1B7F" w14:textId="544F33B1" w:rsidR="00A65C72" w:rsidRDefault="00A65C72" w:rsidP="00A65C72">
      <w:pPr>
        <w:rPr>
          <w:lang w:val="en-US"/>
        </w:rPr>
      </w:pPr>
      <w:r>
        <w:rPr>
          <w:lang w:val="en-US"/>
        </w:rPr>
        <w:t xml:space="preserve">Eindhoven, </w:t>
      </w:r>
      <w:r w:rsidR="0040631E">
        <w:rPr>
          <w:lang w:val="en-US"/>
        </w:rPr>
        <w:t xml:space="preserve">June </w:t>
      </w:r>
      <w:r w:rsidR="008A7A5C">
        <w:rPr>
          <w:lang w:val="en-US"/>
        </w:rPr>
        <w:t>8,</w:t>
      </w:r>
      <w:r>
        <w:rPr>
          <w:lang w:val="en-US"/>
        </w:rPr>
        <w:t xml:space="preserve"> 20</w:t>
      </w:r>
      <w:r w:rsidR="00E50CD3">
        <w:rPr>
          <w:lang w:val="en-US"/>
        </w:rPr>
        <w:t>20</w:t>
      </w:r>
    </w:p>
    <w:p w14:paraId="042DC6A2" w14:textId="77777777" w:rsidR="00A65C72" w:rsidRDefault="00A65C72" w:rsidP="00A65C72">
      <w:pPr>
        <w:rPr>
          <w:lang w:val="en-US"/>
        </w:rPr>
      </w:pPr>
    </w:p>
    <w:p w14:paraId="393B45C9" w14:textId="77777777" w:rsidR="006E6D4A" w:rsidRPr="006E6D4A" w:rsidRDefault="006E6D4A" w:rsidP="006E6D4A">
      <w:pPr>
        <w:rPr>
          <w:b/>
          <w:color w:val="auto"/>
          <w:lang w:val="en-US"/>
        </w:rPr>
      </w:pPr>
      <w:r w:rsidRPr="006E6D4A">
        <w:rPr>
          <w:b/>
          <w:color w:val="auto"/>
          <w:lang w:val="en-US"/>
        </w:rPr>
        <w:t>Bleckmann has been recognized among the Top-10 of the 100 leading Dutch logistics service providers in 2020. The position of Bleckmann is remarkable, as the Top-10 mainly consists of generalist companies while Bleckmann specializes in the Fashion and Lifestyle industry. As an expert in (e)fulfilment for these market segments Bleckmann strongly focuses on sustainability and innovation, which has clearly been appreciated by the experts who compile the ranking.</w:t>
      </w:r>
    </w:p>
    <w:p w14:paraId="04007208" w14:textId="79071669" w:rsidR="006E6D4A" w:rsidRPr="006E6D4A" w:rsidRDefault="006E6D4A" w:rsidP="006E6D4A">
      <w:pPr>
        <w:rPr>
          <w:bCs/>
          <w:color w:val="auto"/>
          <w:lang w:val="en-US"/>
        </w:rPr>
      </w:pPr>
      <w:r w:rsidRPr="006E6D4A">
        <w:rPr>
          <w:bCs/>
          <w:color w:val="auto"/>
          <w:lang w:val="en-US"/>
        </w:rPr>
        <w:t>In just 2 years Bleckmann has climbed from 22</w:t>
      </w:r>
      <w:r w:rsidR="008962DC" w:rsidRPr="008962DC">
        <w:rPr>
          <w:bCs/>
          <w:color w:val="auto"/>
          <w:vertAlign w:val="superscript"/>
          <w:lang w:val="en-US"/>
        </w:rPr>
        <w:t>nd</w:t>
      </w:r>
      <w:r w:rsidR="008962DC">
        <w:rPr>
          <w:bCs/>
          <w:color w:val="auto"/>
          <w:lang w:val="en-US"/>
        </w:rPr>
        <w:t xml:space="preserve"> </w:t>
      </w:r>
      <w:r w:rsidRPr="006E6D4A">
        <w:rPr>
          <w:bCs/>
          <w:color w:val="auto"/>
          <w:lang w:val="en-US"/>
        </w:rPr>
        <w:t xml:space="preserve"> to 10</w:t>
      </w:r>
      <w:r w:rsidR="008962DC" w:rsidRPr="008962DC">
        <w:rPr>
          <w:bCs/>
          <w:color w:val="auto"/>
          <w:vertAlign w:val="superscript"/>
          <w:lang w:val="en-US"/>
        </w:rPr>
        <w:t>th</w:t>
      </w:r>
      <w:r w:rsidR="008962DC">
        <w:rPr>
          <w:bCs/>
          <w:color w:val="auto"/>
          <w:lang w:val="en-US"/>
        </w:rPr>
        <w:t xml:space="preserve"> </w:t>
      </w:r>
      <w:r w:rsidRPr="006E6D4A">
        <w:rPr>
          <w:bCs/>
          <w:color w:val="auto"/>
          <w:lang w:val="en-US"/>
        </w:rPr>
        <w:t>in the ranking. The company is an expert in omni-channel logistics with particular focus and strength in e-fulfilment. Bleckmann’s knowledge and expertise provide a great support for the clients that aim to make a transition from retailing to e-tailing and further to a total market approach. The focus on offering e-fulfilment activities does pay off in solid revenue growth and in winning the tender processes of leading retailers such as Gymshark, Patagonia, Chiquelle and Osaka.</w:t>
      </w:r>
    </w:p>
    <w:p w14:paraId="20236092" w14:textId="77777777" w:rsidR="006E6D4A" w:rsidRPr="006E6D4A" w:rsidRDefault="006E6D4A" w:rsidP="006E6D4A">
      <w:pPr>
        <w:rPr>
          <w:bCs/>
          <w:color w:val="auto"/>
          <w:lang w:val="en-US"/>
        </w:rPr>
      </w:pPr>
    </w:p>
    <w:p w14:paraId="2ED40950" w14:textId="2A444E5B" w:rsidR="006E6D4A" w:rsidRPr="006E6D4A" w:rsidRDefault="006E6D4A" w:rsidP="006E6D4A">
      <w:pPr>
        <w:rPr>
          <w:b/>
          <w:color w:val="auto"/>
          <w:lang w:val="en-US"/>
        </w:rPr>
      </w:pPr>
      <w:r w:rsidRPr="006E6D4A">
        <w:rPr>
          <w:b/>
          <w:color w:val="auto"/>
          <w:lang w:val="en-US"/>
        </w:rPr>
        <w:t>From sustainability to innovation</w:t>
      </w:r>
    </w:p>
    <w:p w14:paraId="27F9CB86" w14:textId="77777777" w:rsidR="006E6D4A" w:rsidRPr="006E6D4A" w:rsidRDefault="006E6D4A" w:rsidP="006E6D4A">
      <w:pPr>
        <w:rPr>
          <w:bCs/>
          <w:color w:val="auto"/>
          <w:lang w:val="en-US"/>
        </w:rPr>
      </w:pPr>
      <w:r w:rsidRPr="006E6D4A">
        <w:rPr>
          <w:bCs/>
          <w:color w:val="auto"/>
          <w:lang w:val="en-US"/>
        </w:rPr>
        <w:t>While sustainability was emphasised in 2019, in 2020 the focus was on both sustainability and innovation. According to the experts that compile the ranking innovation is a key element for future growth for a modern LSP. Innovation also plays a major role, especially in surviving during difficult times such as the Covid-19 pandemic. Innovation within the LSP organization should be embraced in the deployment of labour, smart warehousing/transport, use of digital platforms and total supply chain management.</w:t>
      </w:r>
    </w:p>
    <w:p w14:paraId="3501A32E" w14:textId="77777777" w:rsidR="006E6D4A" w:rsidRPr="006E6D4A" w:rsidRDefault="006E6D4A" w:rsidP="006E6D4A">
      <w:pPr>
        <w:rPr>
          <w:bCs/>
          <w:color w:val="auto"/>
          <w:lang w:val="en-US"/>
        </w:rPr>
      </w:pPr>
    </w:p>
    <w:p w14:paraId="1ADDEAD6" w14:textId="079D264F" w:rsidR="006E6D4A" w:rsidRPr="006E6D4A" w:rsidRDefault="006E6D4A" w:rsidP="006E6D4A">
      <w:pPr>
        <w:rPr>
          <w:b/>
          <w:color w:val="auto"/>
          <w:lang w:val="en-US"/>
        </w:rPr>
      </w:pPr>
      <w:r w:rsidRPr="006E6D4A">
        <w:rPr>
          <w:b/>
          <w:color w:val="auto"/>
          <w:lang w:val="en-US"/>
        </w:rPr>
        <w:t xml:space="preserve">Reducing </w:t>
      </w:r>
      <w:r w:rsidR="002D4CCA" w:rsidRPr="002D4CCA">
        <w:rPr>
          <w:b/>
          <w:color w:val="auto"/>
          <w:lang w:val="en-GB"/>
        </w:rPr>
        <w:t>CO</w:t>
      </w:r>
      <w:r w:rsidR="002D4CCA" w:rsidRPr="002D4CCA">
        <w:rPr>
          <w:b/>
          <w:color w:val="auto"/>
          <w:vertAlign w:val="subscript"/>
          <w:lang w:val="en-GB"/>
        </w:rPr>
        <w:t>2</w:t>
      </w:r>
      <w:r w:rsidRPr="006E6D4A">
        <w:rPr>
          <w:b/>
          <w:color w:val="auto"/>
          <w:lang w:val="en-US"/>
        </w:rPr>
        <w:t>-emissions – Zero Waste goal</w:t>
      </w:r>
    </w:p>
    <w:p w14:paraId="28414B38" w14:textId="4BFE413C" w:rsidR="006E6D4A" w:rsidRPr="00642889" w:rsidRDefault="006E6D4A" w:rsidP="006E6D4A">
      <w:pPr>
        <w:rPr>
          <w:bCs/>
          <w:i/>
          <w:iCs/>
          <w:color w:val="auto"/>
          <w:lang w:val="en-US"/>
        </w:rPr>
      </w:pPr>
      <w:r w:rsidRPr="006E6D4A">
        <w:rPr>
          <w:bCs/>
          <w:color w:val="auto"/>
          <w:lang w:val="en-US"/>
        </w:rPr>
        <w:t xml:space="preserve">Within Bleckmann innovation goes hand in hand with sustainability. Ron Thijssen, Manager Corporate Social Responsibility at Bleckmann: </w:t>
      </w:r>
      <w:r w:rsidRPr="002D4CCA">
        <w:rPr>
          <w:bCs/>
          <w:color w:val="auto"/>
          <w:lang w:val="en-US"/>
        </w:rPr>
        <w:t xml:space="preserve">“Concerning sustainability, we focus, among other aspects, on different opportunities to reduce </w:t>
      </w:r>
      <w:r w:rsidR="002D4CCA" w:rsidRPr="002D4CCA">
        <w:rPr>
          <w:bCs/>
          <w:color w:val="auto"/>
          <w:lang w:val="en-GB"/>
        </w:rPr>
        <w:t>CO</w:t>
      </w:r>
      <w:r w:rsidR="002D4CCA" w:rsidRPr="002D4CCA">
        <w:rPr>
          <w:bCs/>
          <w:color w:val="auto"/>
          <w:vertAlign w:val="subscript"/>
          <w:lang w:val="en-GB"/>
        </w:rPr>
        <w:t>2</w:t>
      </w:r>
      <w:r w:rsidRPr="002D4CCA">
        <w:rPr>
          <w:bCs/>
          <w:color w:val="auto"/>
          <w:lang w:val="en-US"/>
        </w:rPr>
        <w:t>-emissions within the supply chain. Additionally, we reduce waste and even strive for Zero Waste operations. Bleckmann is also developing dedicated sustainable initiatives and processes that are crucial to us, our clients and other business partners. This approach helps us win tender processes but it also supports our clients in promoting themselves to the end-customer as responsible companies.”</w:t>
      </w:r>
    </w:p>
    <w:p w14:paraId="6BEF625B" w14:textId="77777777" w:rsidR="006E6D4A" w:rsidRPr="006E6D4A" w:rsidRDefault="006E6D4A" w:rsidP="006E6D4A">
      <w:pPr>
        <w:rPr>
          <w:bCs/>
          <w:color w:val="auto"/>
          <w:lang w:val="en-US"/>
        </w:rPr>
      </w:pPr>
    </w:p>
    <w:p w14:paraId="599D340B" w14:textId="77777777" w:rsidR="006E6D4A" w:rsidRPr="006E6D4A" w:rsidRDefault="006E6D4A" w:rsidP="006E6D4A">
      <w:pPr>
        <w:rPr>
          <w:b/>
          <w:color w:val="auto"/>
          <w:lang w:val="en-US"/>
        </w:rPr>
      </w:pPr>
      <w:r w:rsidRPr="006E6D4A">
        <w:rPr>
          <w:b/>
          <w:color w:val="auto"/>
          <w:lang w:val="en-US"/>
        </w:rPr>
        <w:t>Dedicated to innovation and digital</w:t>
      </w:r>
    </w:p>
    <w:p w14:paraId="50AC3CED" w14:textId="77777777" w:rsidR="006E6D4A" w:rsidRPr="006E6D4A" w:rsidRDefault="006E6D4A" w:rsidP="006E6D4A">
      <w:pPr>
        <w:rPr>
          <w:bCs/>
          <w:color w:val="auto"/>
          <w:lang w:val="en-US"/>
        </w:rPr>
      </w:pPr>
      <w:r w:rsidRPr="006E6D4A">
        <w:rPr>
          <w:bCs/>
          <w:color w:val="auto"/>
          <w:lang w:val="en-US"/>
        </w:rPr>
        <w:t xml:space="preserve">Innovation is a driver for better results and growth for both Bleckmann and its clients. In order to support a continuous innovation process, Bleckmann has appointed a team dedicated to innovation and digital development. Steven Rymenans, Chief Innovation &amp; Digital Officer, oversees this department. Rymenans: </w:t>
      </w:r>
      <w:r w:rsidRPr="002D4CCA">
        <w:rPr>
          <w:bCs/>
          <w:color w:val="auto"/>
          <w:lang w:val="en-US"/>
        </w:rPr>
        <w:t xml:space="preserve">“We believe in the power of innovation and the possibilities we can provide for our clients. One of the main goals we </w:t>
      </w:r>
      <w:r w:rsidRPr="002D4CCA">
        <w:rPr>
          <w:bCs/>
          <w:color w:val="auto"/>
          <w:lang w:val="en-US"/>
        </w:rPr>
        <w:lastRenderedPageBreak/>
        <w:t>have set is exchanging knowledge and experience between employees and departments internally as well as between Bleckmann and its partners within the full supply chain.”</w:t>
      </w:r>
    </w:p>
    <w:p w14:paraId="7AAA3D1D" w14:textId="77777777" w:rsidR="006E6D4A" w:rsidRPr="006E6D4A" w:rsidRDefault="006E6D4A" w:rsidP="006E6D4A">
      <w:pPr>
        <w:rPr>
          <w:bCs/>
          <w:color w:val="auto"/>
          <w:lang w:val="en-US"/>
        </w:rPr>
      </w:pPr>
    </w:p>
    <w:p w14:paraId="6FF78CC0" w14:textId="77777777" w:rsidR="006E6D4A" w:rsidRPr="006E6D4A" w:rsidRDefault="006E6D4A" w:rsidP="006E6D4A">
      <w:pPr>
        <w:rPr>
          <w:b/>
          <w:color w:val="auto"/>
          <w:lang w:val="en-US"/>
        </w:rPr>
      </w:pPr>
      <w:r w:rsidRPr="006E6D4A">
        <w:rPr>
          <w:b/>
          <w:color w:val="auto"/>
          <w:lang w:val="en-US"/>
        </w:rPr>
        <w:t>Managing the supply chain until the last-mile</w:t>
      </w:r>
    </w:p>
    <w:p w14:paraId="2C40BE5A" w14:textId="6554ADA9" w:rsidR="00CA0958" w:rsidRPr="002D4CCA" w:rsidRDefault="006E6D4A" w:rsidP="006E6D4A">
      <w:pPr>
        <w:rPr>
          <w:rFonts w:ascii="Avenir Next" w:hAnsi="Avenir Next"/>
          <w:bCs/>
          <w:color w:val="auto"/>
          <w:lang w:val="en-US"/>
        </w:rPr>
      </w:pPr>
      <w:r w:rsidRPr="002D4CCA">
        <w:rPr>
          <w:bCs/>
          <w:color w:val="auto"/>
          <w:lang w:val="en-US"/>
        </w:rPr>
        <w:t>The close collaboration with supply chain partners does help Bleckmann modernize supply chain management. “The modern IT-platform we use is the basis for our end-to-end approach. It allows us to predict all kinds of activity levels.  For example, for incoming orders in our forwarding department until the last-mile distribution. BI tools provide essential support and help us manage exceptions</w:t>
      </w:r>
      <w:r w:rsidR="008962DC">
        <w:rPr>
          <w:bCs/>
          <w:color w:val="auto"/>
          <w:lang w:val="en-US"/>
        </w:rPr>
        <w:t>,</w:t>
      </w:r>
      <w:r w:rsidRPr="002D4CCA">
        <w:rPr>
          <w:bCs/>
          <w:color w:val="auto"/>
          <w:lang w:val="en-US"/>
        </w:rPr>
        <w:t>” adds Jurrie-Jan Tap, Chief Development Officer at Bleckmann.</w:t>
      </w:r>
    </w:p>
    <w:p w14:paraId="62891D05" w14:textId="43C227D5" w:rsidR="0053120D" w:rsidRDefault="0053120D" w:rsidP="003D6F22">
      <w:pPr>
        <w:rPr>
          <w:rFonts w:ascii="Avenir Next" w:hAnsi="Avenir Next"/>
          <w:color w:val="auto"/>
          <w:lang w:val="en-US"/>
        </w:rPr>
      </w:pPr>
    </w:p>
    <w:p w14:paraId="0A7EF70A" w14:textId="77777777" w:rsidR="008958D9" w:rsidRDefault="008958D9" w:rsidP="003D6F22">
      <w:pPr>
        <w:rPr>
          <w:rFonts w:ascii="Avenir Next" w:hAnsi="Avenir Next"/>
          <w:color w:val="auto"/>
          <w:lang w:val="en-US"/>
        </w:rPr>
      </w:pPr>
    </w:p>
    <w:p w14:paraId="54BD16B7" w14:textId="0C4E9639" w:rsidR="00CA0958" w:rsidRPr="00AD35EB" w:rsidRDefault="00AE101D" w:rsidP="008958D9">
      <w:pPr>
        <w:jc w:val="center"/>
        <w:rPr>
          <w:rFonts w:ascii="Avenir Next" w:hAnsi="Avenir Next"/>
          <w:b/>
          <w:bCs/>
          <w:color w:val="000000" w:themeColor="text1"/>
          <w:lang w:val="en-US"/>
        </w:rPr>
      </w:pPr>
      <w:r w:rsidRPr="00AD35EB">
        <w:rPr>
          <w:rFonts w:ascii="Avenir Next" w:hAnsi="Avenir Next"/>
          <w:b/>
          <w:bCs/>
          <w:color w:val="000000" w:themeColor="text1"/>
          <w:lang w:val="en-US"/>
        </w:rPr>
        <w:t>- - - E n d - - -</w:t>
      </w:r>
    </w:p>
    <w:p w14:paraId="76D0F8B0" w14:textId="3DE5B344" w:rsidR="000C1A2B" w:rsidRDefault="000C1A2B" w:rsidP="000C1A2B">
      <w:pPr>
        <w:rPr>
          <w:rFonts w:ascii="Avenir Next" w:hAnsi="Avenir Next"/>
          <w:b/>
          <w:color w:val="000000" w:themeColor="text1"/>
          <w:lang w:val="en-US"/>
        </w:rPr>
      </w:pPr>
    </w:p>
    <w:p w14:paraId="301B1823" w14:textId="77777777" w:rsidR="008958D9" w:rsidRDefault="008958D9" w:rsidP="000C1A2B">
      <w:pPr>
        <w:rPr>
          <w:rFonts w:ascii="Avenir Next" w:hAnsi="Avenir Next"/>
          <w:b/>
          <w:color w:val="000000" w:themeColor="text1"/>
          <w:lang w:val="en-US"/>
        </w:rPr>
      </w:pPr>
    </w:p>
    <w:p w14:paraId="7DA88ECA" w14:textId="7EE5E556" w:rsidR="005B313C" w:rsidRPr="00BC3F7E" w:rsidRDefault="005B313C" w:rsidP="000C1A2B">
      <w:pPr>
        <w:rPr>
          <w:rFonts w:ascii="Avenir Next" w:hAnsi="Avenir Next"/>
          <w:b/>
          <w:color w:val="000000" w:themeColor="text1"/>
          <w:lang w:val="en-US"/>
        </w:rPr>
      </w:pPr>
      <w:r w:rsidRPr="00BC3F7E">
        <w:rPr>
          <w:rFonts w:ascii="Avenir Next" w:hAnsi="Avenir Next"/>
          <w:b/>
          <w:color w:val="000000" w:themeColor="text1"/>
          <w:lang w:val="en-US"/>
        </w:rPr>
        <w:t>About Bleckmann</w:t>
      </w:r>
    </w:p>
    <w:bookmarkStart w:id="0" w:name="_Hlk1046335"/>
    <w:bookmarkStart w:id="1" w:name="_Hlk1456103"/>
    <w:bookmarkStart w:id="2" w:name="_Hlk1383665"/>
    <w:p w14:paraId="418960C4" w14:textId="32886559" w:rsidR="00246EE2" w:rsidRPr="004318DD" w:rsidRDefault="00246EE2" w:rsidP="00246EE2">
      <w:pPr>
        <w:rPr>
          <w:sz w:val="20"/>
          <w:lang w:val="en-US"/>
        </w:rPr>
      </w:pPr>
      <w:r w:rsidRPr="002D4CCA">
        <w:rPr>
          <w:color w:val="D20C14"/>
          <w:sz w:val="20"/>
          <w:lang w:val="en-US"/>
        </w:rPr>
        <w:fldChar w:fldCharType="begin"/>
      </w:r>
      <w:r w:rsidRPr="002D4CCA">
        <w:rPr>
          <w:color w:val="D20C14"/>
          <w:sz w:val="20"/>
          <w:lang w:val="en-US"/>
        </w:rPr>
        <w:instrText xml:space="preserve"> HYPERLINK "http://www.bleckmann.com" </w:instrText>
      </w:r>
      <w:r w:rsidRPr="002D4CCA">
        <w:rPr>
          <w:color w:val="D20C14"/>
          <w:sz w:val="20"/>
          <w:lang w:val="en-US"/>
        </w:rPr>
      </w:r>
      <w:r w:rsidRPr="002D4CCA">
        <w:rPr>
          <w:color w:val="D20C14"/>
          <w:sz w:val="20"/>
          <w:lang w:val="en-US"/>
        </w:rPr>
        <w:fldChar w:fldCharType="separate"/>
      </w:r>
      <w:r w:rsidRPr="002D4CCA">
        <w:rPr>
          <w:rStyle w:val="Hyperlink"/>
          <w:color w:val="D20C14"/>
          <w:sz w:val="20"/>
          <w:lang w:val="en-US"/>
        </w:rPr>
        <w:t>Bleckmann</w:t>
      </w:r>
      <w:r w:rsidRPr="002D4CCA">
        <w:rPr>
          <w:color w:val="D20C14"/>
          <w:sz w:val="20"/>
          <w:lang w:val="en-US"/>
        </w:rPr>
        <w:fldChar w:fldCharType="end"/>
      </w:r>
      <w:r w:rsidRPr="004318DD">
        <w:rPr>
          <w:sz w:val="20"/>
          <w:lang w:val="en-US"/>
        </w:rPr>
        <w:t xml:space="preserve"> is </w:t>
      </w:r>
      <w:r>
        <w:rPr>
          <w:sz w:val="20"/>
          <w:lang w:val="en-US"/>
        </w:rPr>
        <w:t>the</w:t>
      </w:r>
      <w:r w:rsidRPr="004318DD">
        <w:rPr>
          <w:sz w:val="20"/>
          <w:lang w:val="en-US"/>
        </w:rPr>
        <w:t xml:space="preserve"> market leader in Supply Chain Management (SCM) services </w:t>
      </w:r>
      <w:r>
        <w:rPr>
          <w:sz w:val="20"/>
          <w:lang w:val="en-US"/>
        </w:rPr>
        <w:t>for</w:t>
      </w:r>
      <w:r w:rsidRPr="004318DD">
        <w:rPr>
          <w:sz w:val="20"/>
          <w:lang w:val="en-US"/>
        </w:rPr>
        <w:t xml:space="preserve"> the fashion and lifestyle </w:t>
      </w:r>
      <w:r>
        <w:rPr>
          <w:sz w:val="20"/>
          <w:lang w:val="en-US"/>
        </w:rPr>
        <w:t>brands</w:t>
      </w:r>
      <w:r w:rsidRPr="004318DD">
        <w:rPr>
          <w:sz w:val="20"/>
          <w:lang w:val="en-US"/>
        </w:rPr>
        <w:t xml:space="preserve">. </w:t>
      </w:r>
    </w:p>
    <w:p w14:paraId="4E520795" w14:textId="77777777" w:rsidR="00246EE2" w:rsidRPr="004318DD" w:rsidRDefault="00246EE2" w:rsidP="00246EE2">
      <w:pPr>
        <w:rPr>
          <w:sz w:val="20"/>
          <w:lang w:val="en-US"/>
        </w:rPr>
      </w:pPr>
      <w:r w:rsidRPr="004318DD">
        <w:rPr>
          <w:sz w:val="20"/>
          <w:lang w:val="en-US"/>
        </w:rPr>
        <w:t xml:space="preserve">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 </w:t>
      </w:r>
    </w:p>
    <w:p w14:paraId="3BF9CACD" w14:textId="77777777" w:rsidR="00246EE2" w:rsidRPr="004318DD" w:rsidRDefault="00246EE2" w:rsidP="00246EE2">
      <w:pPr>
        <w:rPr>
          <w:sz w:val="20"/>
          <w:lang w:val="en-US"/>
        </w:rPr>
      </w:pPr>
      <w:r w:rsidRPr="004318DD">
        <w:rPr>
          <w:sz w:val="20"/>
          <w:lang w:val="en-US"/>
        </w:rPr>
        <w:t>Bleckmann’s investments and vast experience in IT solutions enable a globally unified platform for our clients. Every day</w:t>
      </w:r>
      <w:r>
        <w:rPr>
          <w:sz w:val="20"/>
          <w:lang w:val="en-US"/>
        </w:rPr>
        <w:t xml:space="preserve"> nearly 4</w:t>
      </w:r>
      <w:r w:rsidRPr="004318DD">
        <w:rPr>
          <w:sz w:val="20"/>
          <w:lang w:val="en-US"/>
        </w:rPr>
        <w:t xml:space="preserve">000 team members support Bleckmann customers to deliver on their promises. With </w:t>
      </w:r>
      <w:r>
        <w:rPr>
          <w:sz w:val="20"/>
          <w:lang w:val="en-US"/>
        </w:rPr>
        <w:t>over</w:t>
      </w:r>
      <w:r w:rsidRPr="004318DD">
        <w:rPr>
          <w:sz w:val="20"/>
          <w:lang w:val="en-US"/>
        </w:rPr>
        <w:t xml:space="preserve"> 3</w:t>
      </w:r>
      <w:r>
        <w:rPr>
          <w:sz w:val="20"/>
          <w:lang w:val="en-US"/>
        </w:rPr>
        <w:t>5</w:t>
      </w:r>
      <w:r w:rsidRPr="004318DD">
        <w:rPr>
          <w:sz w:val="20"/>
          <w:lang w:val="en-US"/>
        </w:rPr>
        <w:t>0 million Euro revenue, Bleckmann has the scale and flexibility to create world class solutions that delight its customers</w:t>
      </w:r>
      <w:r>
        <w:rPr>
          <w:sz w:val="20"/>
          <w:lang w:val="en-US"/>
        </w:rPr>
        <w:t>.</w:t>
      </w:r>
    </w:p>
    <w:p w14:paraId="78E5F4FC" w14:textId="77777777" w:rsidR="00246EE2" w:rsidRPr="002B3517" w:rsidRDefault="00246EE2" w:rsidP="00246EE2">
      <w:pPr>
        <w:rPr>
          <w:rFonts w:cstheme="minorHAnsi"/>
          <w:sz w:val="20"/>
          <w:szCs w:val="20"/>
          <w:lang w:val="en-US"/>
        </w:rPr>
      </w:pPr>
      <w:r w:rsidRPr="004318DD">
        <w:rPr>
          <w:sz w:val="20"/>
          <w:lang w:val="en-US"/>
        </w:rPr>
        <w:t>For more in</w:t>
      </w:r>
      <w:r w:rsidRPr="002B3517">
        <w:rPr>
          <w:sz w:val="20"/>
          <w:szCs w:val="20"/>
          <w:lang w:val="en-US"/>
        </w:rPr>
        <w:t xml:space="preserve">formation, please visit </w:t>
      </w:r>
      <w:hyperlink r:id="rId11" w:history="1">
        <w:r w:rsidRPr="002D4CCA">
          <w:rPr>
            <w:rStyle w:val="Hyperlink"/>
            <w:color w:val="D20C14"/>
            <w:sz w:val="20"/>
            <w:szCs w:val="20"/>
            <w:lang w:val="en-US"/>
          </w:rPr>
          <w:t>www.bleckmann.com</w:t>
        </w:r>
      </w:hyperlink>
      <w:bookmarkEnd w:id="0"/>
    </w:p>
    <w:bookmarkEnd w:id="1"/>
    <w:p w14:paraId="28F45192" w14:textId="77777777" w:rsidR="00246EE2" w:rsidRDefault="00246EE2" w:rsidP="00246EE2">
      <w:pPr>
        <w:rPr>
          <w:sz w:val="20"/>
          <w:lang w:val="en-US"/>
        </w:rPr>
      </w:pPr>
    </w:p>
    <w:p w14:paraId="3FEA28C7" w14:textId="77777777" w:rsidR="00246EE2" w:rsidRPr="00AE101D" w:rsidRDefault="00246EE2" w:rsidP="00246EE2">
      <w:pPr>
        <w:rPr>
          <w:sz w:val="20"/>
          <w:lang w:val="en-US"/>
        </w:rPr>
      </w:pPr>
      <w:r>
        <w:rPr>
          <w:sz w:val="20"/>
          <w:lang w:val="en-US"/>
        </w:rPr>
        <w:t>In case of questions</w:t>
      </w:r>
      <w:r w:rsidRPr="00AE101D">
        <w:rPr>
          <w:sz w:val="20"/>
          <w:lang w:val="en-US"/>
        </w:rPr>
        <w:t xml:space="preserve">, </w:t>
      </w:r>
      <w:r>
        <w:rPr>
          <w:sz w:val="20"/>
          <w:lang w:val="en-US"/>
        </w:rPr>
        <w:t>please</w:t>
      </w:r>
      <w:r w:rsidRPr="00AE101D">
        <w:rPr>
          <w:sz w:val="20"/>
          <w:lang w:val="en-US"/>
        </w:rPr>
        <w:t xml:space="preserve"> contact:</w:t>
      </w:r>
    </w:p>
    <w:p w14:paraId="152B32DC" w14:textId="0135656A" w:rsidR="00246EE2" w:rsidRPr="00880C0E" w:rsidRDefault="00246EE2" w:rsidP="00246EE2">
      <w:pPr>
        <w:rPr>
          <w:sz w:val="20"/>
          <w:lang w:val="en-US"/>
        </w:rPr>
      </w:pPr>
      <w:r w:rsidRPr="00246EE2">
        <w:rPr>
          <w:b/>
          <w:color w:val="auto"/>
          <w:sz w:val="20"/>
          <w:lang w:val="en-US"/>
        </w:rPr>
        <w:t>Dorota Tankink</w:t>
      </w:r>
      <w:r w:rsidRPr="00246EE2">
        <w:rPr>
          <w:color w:val="auto"/>
          <w:sz w:val="20"/>
          <w:lang w:val="en-US"/>
        </w:rPr>
        <w:t xml:space="preserve"> | Marketing &amp; Communication Executive | +31 6 </w:t>
      </w:r>
      <w:r w:rsidRPr="00246EE2">
        <w:rPr>
          <w:rFonts w:eastAsiaTheme="minorEastAsia"/>
          <w:noProof/>
          <w:color w:val="auto"/>
          <w:sz w:val="20"/>
          <w:szCs w:val="20"/>
          <w:lang w:val="en-US" w:eastAsia="nl-NL"/>
        </w:rPr>
        <w:t>3012 9759</w:t>
      </w:r>
      <w:r w:rsidRPr="00246EE2">
        <w:rPr>
          <w:color w:val="auto"/>
          <w:sz w:val="20"/>
          <w:lang w:val="en-US"/>
        </w:rPr>
        <w:t xml:space="preserve"> | </w:t>
      </w:r>
      <w:hyperlink r:id="rId12" w:history="1">
        <w:r w:rsidRPr="002D4CCA">
          <w:rPr>
            <w:rStyle w:val="Hyperlink"/>
            <w:color w:val="D20C14"/>
            <w:sz w:val="20"/>
            <w:lang w:val="en-US"/>
          </w:rPr>
          <w:t>dorota.tankink@bleckmann.com</w:t>
        </w:r>
      </w:hyperlink>
      <w:r w:rsidRPr="002D4CCA">
        <w:rPr>
          <w:color w:val="D20C14"/>
          <w:sz w:val="20"/>
          <w:lang w:val="en-US"/>
        </w:rPr>
        <w:t xml:space="preserve"> </w:t>
      </w:r>
      <w:bookmarkEnd w:id="2"/>
    </w:p>
    <w:sectPr w:rsidR="00246EE2" w:rsidRPr="00880C0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BDC89" w14:textId="77777777" w:rsidR="0082502F" w:rsidRDefault="0082502F" w:rsidP="008E42D9">
      <w:pPr>
        <w:spacing w:after="0" w:line="240" w:lineRule="auto"/>
      </w:pPr>
      <w:r>
        <w:separator/>
      </w:r>
    </w:p>
  </w:endnote>
  <w:endnote w:type="continuationSeparator" w:id="0">
    <w:p w14:paraId="5C761ACA" w14:textId="77777777" w:rsidR="0082502F" w:rsidRDefault="0082502F" w:rsidP="008E42D9">
      <w:pPr>
        <w:spacing w:after="0" w:line="240" w:lineRule="auto"/>
      </w:pPr>
      <w:r>
        <w:continuationSeparator/>
      </w:r>
    </w:p>
  </w:endnote>
  <w:endnote w:type="continuationNotice" w:id="1">
    <w:p w14:paraId="11A4B99B" w14:textId="77777777" w:rsidR="0082502F" w:rsidRDefault="008250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3BE7D215"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5824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95BF36A" w:rsidRPr="008E4B6F">
      <w:rPr>
        <w:sz w:val="18"/>
        <w:szCs w:val="18"/>
        <w:lang w:val="en-US"/>
      </w:rPr>
      <w:t xml:space="preserve">Press release </w:t>
    </w:r>
    <w:r w:rsidR="095BF36A" w:rsidRPr="007E1DF2">
      <w:rPr>
        <w:sz w:val="18"/>
        <w:szCs w:val="18"/>
        <w:lang w:val="en-US"/>
      </w:rPr>
      <w:t xml:space="preserve">|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95BF36A"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58241"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hthoek 9"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c42224" stroked="f" strokeweight="1pt" w14:anchorId="7EA9A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w10:wrap anchorx="page"/>
            </v:rect>
          </w:pict>
        </mc:Fallback>
      </mc:AlternateContent>
    </w:r>
    <w:r w:rsidR="095BF36A"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95BF36A"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E0C53" w14:textId="77777777" w:rsidR="0082502F" w:rsidRDefault="0082502F" w:rsidP="008E42D9">
      <w:pPr>
        <w:spacing w:after="0" w:line="240" w:lineRule="auto"/>
      </w:pPr>
      <w:r>
        <w:separator/>
      </w:r>
    </w:p>
  </w:footnote>
  <w:footnote w:type="continuationSeparator" w:id="0">
    <w:p w14:paraId="51436318" w14:textId="77777777" w:rsidR="0082502F" w:rsidRDefault="0082502F" w:rsidP="008E42D9">
      <w:pPr>
        <w:spacing w:after="0" w:line="240" w:lineRule="auto"/>
      </w:pPr>
      <w:r>
        <w:continuationSeparator/>
      </w:r>
    </w:p>
  </w:footnote>
  <w:footnote w:type="continuationNotice" w:id="1">
    <w:p w14:paraId="4D6BD496" w14:textId="77777777" w:rsidR="0082502F" w:rsidRDefault="008250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095BF36A" w:rsidRPr="095BF36A">
      <w:rPr>
        <w:b/>
        <w:bCs/>
        <w:color w:val="000000"/>
        <w:sz w:val="20"/>
        <w:szCs w:val="20"/>
      </w:rPr>
      <w:t>Bleckmann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2D4CCA">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89307A"/>
    <w:multiLevelType w:val="hybridMultilevel"/>
    <w:tmpl w:val="D7B2735C"/>
    <w:lvl w:ilvl="0" w:tplc="30743BF2">
      <w:start w:val="1"/>
      <w:numFmt w:val="bullet"/>
      <w:lvlText w:val="•"/>
      <w:lvlJc w:val="left"/>
      <w:pPr>
        <w:tabs>
          <w:tab w:val="num" w:pos="720"/>
        </w:tabs>
        <w:ind w:left="720" w:hanging="360"/>
      </w:pPr>
      <w:rPr>
        <w:rFonts w:ascii="Arial" w:hAnsi="Arial" w:hint="default"/>
      </w:rPr>
    </w:lvl>
    <w:lvl w:ilvl="1" w:tplc="1D20AB9A" w:tentative="1">
      <w:start w:val="1"/>
      <w:numFmt w:val="bullet"/>
      <w:lvlText w:val="•"/>
      <w:lvlJc w:val="left"/>
      <w:pPr>
        <w:tabs>
          <w:tab w:val="num" w:pos="1440"/>
        </w:tabs>
        <w:ind w:left="1440" w:hanging="360"/>
      </w:pPr>
      <w:rPr>
        <w:rFonts w:ascii="Arial" w:hAnsi="Arial" w:hint="default"/>
      </w:rPr>
    </w:lvl>
    <w:lvl w:ilvl="2" w:tplc="C7C08986" w:tentative="1">
      <w:start w:val="1"/>
      <w:numFmt w:val="bullet"/>
      <w:lvlText w:val="•"/>
      <w:lvlJc w:val="left"/>
      <w:pPr>
        <w:tabs>
          <w:tab w:val="num" w:pos="2160"/>
        </w:tabs>
        <w:ind w:left="2160" w:hanging="360"/>
      </w:pPr>
      <w:rPr>
        <w:rFonts w:ascii="Arial" w:hAnsi="Arial" w:hint="default"/>
      </w:rPr>
    </w:lvl>
    <w:lvl w:ilvl="3" w:tplc="63FE9962" w:tentative="1">
      <w:start w:val="1"/>
      <w:numFmt w:val="bullet"/>
      <w:lvlText w:val="•"/>
      <w:lvlJc w:val="left"/>
      <w:pPr>
        <w:tabs>
          <w:tab w:val="num" w:pos="2880"/>
        </w:tabs>
        <w:ind w:left="2880" w:hanging="360"/>
      </w:pPr>
      <w:rPr>
        <w:rFonts w:ascii="Arial" w:hAnsi="Arial" w:hint="default"/>
      </w:rPr>
    </w:lvl>
    <w:lvl w:ilvl="4" w:tplc="DDA0D67C" w:tentative="1">
      <w:start w:val="1"/>
      <w:numFmt w:val="bullet"/>
      <w:lvlText w:val="•"/>
      <w:lvlJc w:val="left"/>
      <w:pPr>
        <w:tabs>
          <w:tab w:val="num" w:pos="3600"/>
        </w:tabs>
        <w:ind w:left="3600" w:hanging="360"/>
      </w:pPr>
      <w:rPr>
        <w:rFonts w:ascii="Arial" w:hAnsi="Arial" w:hint="default"/>
      </w:rPr>
    </w:lvl>
    <w:lvl w:ilvl="5" w:tplc="D2F6C6B4" w:tentative="1">
      <w:start w:val="1"/>
      <w:numFmt w:val="bullet"/>
      <w:lvlText w:val="•"/>
      <w:lvlJc w:val="left"/>
      <w:pPr>
        <w:tabs>
          <w:tab w:val="num" w:pos="4320"/>
        </w:tabs>
        <w:ind w:left="4320" w:hanging="360"/>
      </w:pPr>
      <w:rPr>
        <w:rFonts w:ascii="Arial" w:hAnsi="Arial" w:hint="default"/>
      </w:rPr>
    </w:lvl>
    <w:lvl w:ilvl="6" w:tplc="93CA1F74" w:tentative="1">
      <w:start w:val="1"/>
      <w:numFmt w:val="bullet"/>
      <w:lvlText w:val="•"/>
      <w:lvlJc w:val="left"/>
      <w:pPr>
        <w:tabs>
          <w:tab w:val="num" w:pos="5040"/>
        </w:tabs>
        <w:ind w:left="5040" w:hanging="360"/>
      </w:pPr>
      <w:rPr>
        <w:rFonts w:ascii="Arial" w:hAnsi="Arial" w:hint="default"/>
      </w:rPr>
    </w:lvl>
    <w:lvl w:ilvl="7" w:tplc="1C16C040" w:tentative="1">
      <w:start w:val="1"/>
      <w:numFmt w:val="bullet"/>
      <w:lvlText w:val="•"/>
      <w:lvlJc w:val="left"/>
      <w:pPr>
        <w:tabs>
          <w:tab w:val="num" w:pos="5760"/>
        </w:tabs>
        <w:ind w:left="5760" w:hanging="360"/>
      </w:pPr>
      <w:rPr>
        <w:rFonts w:ascii="Arial" w:hAnsi="Arial" w:hint="default"/>
      </w:rPr>
    </w:lvl>
    <w:lvl w:ilvl="8" w:tplc="CC1E43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EC631B"/>
    <w:multiLevelType w:val="hybridMultilevel"/>
    <w:tmpl w:val="269691C6"/>
    <w:lvl w:ilvl="0" w:tplc="071AC0E0">
      <w:start w:val="1"/>
      <w:numFmt w:val="bullet"/>
      <w:lvlText w:val="•"/>
      <w:lvlJc w:val="left"/>
      <w:pPr>
        <w:tabs>
          <w:tab w:val="num" w:pos="720"/>
        </w:tabs>
        <w:ind w:left="720" w:hanging="360"/>
      </w:pPr>
      <w:rPr>
        <w:rFonts w:ascii="Arial" w:hAnsi="Arial" w:hint="default"/>
      </w:rPr>
    </w:lvl>
    <w:lvl w:ilvl="1" w:tplc="0030A462">
      <w:numFmt w:val="none"/>
      <w:lvlText w:val=""/>
      <w:lvlJc w:val="left"/>
      <w:pPr>
        <w:tabs>
          <w:tab w:val="num" w:pos="360"/>
        </w:tabs>
      </w:pPr>
    </w:lvl>
    <w:lvl w:ilvl="2" w:tplc="C79AE646" w:tentative="1">
      <w:start w:val="1"/>
      <w:numFmt w:val="bullet"/>
      <w:lvlText w:val="•"/>
      <w:lvlJc w:val="left"/>
      <w:pPr>
        <w:tabs>
          <w:tab w:val="num" w:pos="2160"/>
        </w:tabs>
        <w:ind w:left="2160" w:hanging="360"/>
      </w:pPr>
      <w:rPr>
        <w:rFonts w:ascii="Arial" w:hAnsi="Arial" w:hint="default"/>
      </w:rPr>
    </w:lvl>
    <w:lvl w:ilvl="3" w:tplc="CCBAA936" w:tentative="1">
      <w:start w:val="1"/>
      <w:numFmt w:val="bullet"/>
      <w:lvlText w:val="•"/>
      <w:lvlJc w:val="left"/>
      <w:pPr>
        <w:tabs>
          <w:tab w:val="num" w:pos="2880"/>
        </w:tabs>
        <w:ind w:left="2880" w:hanging="360"/>
      </w:pPr>
      <w:rPr>
        <w:rFonts w:ascii="Arial" w:hAnsi="Arial" w:hint="default"/>
      </w:rPr>
    </w:lvl>
    <w:lvl w:ilvl="4" w:tplc="EB7E0734" w:tentative="1">
      <w:start w:val="1"/>
      <w:numFmt w:val="bullet"/>
      <w:lvlText w:val="•"/>
      <w:lvlJc w:val="left"/>
      <w:pPr>
        <w:tabs>
          <w:tab w:val="num" w:pos="3600"/>
        </w:tabs>
        <w:ind w:left="3600" w:hanging="360"/>
      </w:pPr>
      <w:rPr>
        <w:rFonts w:ascii="Arial" w:hAnsi="Arial" w:hint="default"/>
      </w:rPr>
    </w:lvl>
    <w:lvl w:ilvl="5" w:tplc="9A0AF52E" w:tentative="1">
      <w:start w:val="1"/>
      <w:numFmt w:val="bullet"/>
      <w:lvlText w:val="•"/>
      <w:lvlJc w:val="left"/>
      <w:pPr>
        <w:tabs>
          <w:tab w:val="num" w:pos="4320"/>
        </w:tabs>
        <w:ind w:left="4320" w:hanging="360"/>
      </w:pPr>
      <w:rPr>
        <w:rFonts w:ascii="Arial" w:hAnsi="Arial" w:hint="default"/>
      </w:rPr>
    </w:lvl>
    <w:lvl w:ilvl="6" w:tplc="A4700F48" w:tentative="1">
      <w:start w:val="1"/>
      <w:numFmt w:val="bullet"/>
      <w:lvlText w:val="•"/>
      <w:lvlJc w:val="left"/>
      <w:pPr>
        <w:tabs>
          <w:tab w:val="num" w:pos="5040"/>
        </w:tabs>
        <w:ind w:left="5040" w:hanging="360"/>
      </w:pPr>
      <w:rPr>
        <w:rFonts w:ascii="Arial" w:hAnsi="Arial" w:hint="default"/>
      </w:rPr>
    </w:lvl>
    <w:lvl w:ilvl="7" w:tplc="A1C811DC" w:tentative="1">
      <w:start w:val="1"/>
      <w:numFmt w:val="bullet"/>
      <w:lvlText w:val="•"/>
      <w:lvlJc w:val="left"/>
      <w:pPr>
        <w:tabs>
          <w:tab w:val="num" w:pos="5760"/>
        </w:tabs>
        <w:ind w:left="5760" w:hanging="360"/>
      </w:pPr>
      <w:rPr>
        <w:rFonts w:ascii="Arial" w:hAnsi="Arial" w:hint="default"/>
      </w:rPr>
    </w:lvl>
    <w:lvl w:ilvl="8" w:tplc="65AE279A" w:tentative="1">
      <w:start w:val="1"/>
      <w:numFmt w:val="bullet"/>
      <w:lvlText w:val="•"/>
      <w:lvlJc w:val="left"/>
      <w:pPr>
        <w:tabs>
          <w:tab w:val="num" w:pos="6480"/>
        </w:tabs>
        <w:ind w:left="6480" w:hanging="360"/>
      </w:pPr>
      <w:rPr>
        <w:rFonts w:ascii="Arial" w:hAnsi="Arial" w:hint="default"/>
      </w:rPr>
    </w:lvl>
  </w:abstractNum>
  <w:num w:numId="1" w16cid:durableId="2028672706">
    <w:abstractNumId w:val="2"/>
  </w:num>
  <w:num w:numId="2" w16cid:durableId="1796486151">
    <w:abstractNumId w:val="9"/>
  </w:num>
  <w:num w:numId="3" w16cid:durableId="2012247099">
    <w:abstractNumId w:val="3"/>
  </w:num>
  <w:num w:numId="4" w16cid:durableId="2101488550">
    <w:abstractNumId w:val="1"/>
  </w:num>
  <w:num w:numId="5" w16cid:durableId="804548970">
    <w:abstractNumId w:val="7"/>
  </w:num>
  <w:num w:numId="6" w16cid:durableId="612588859">
    <w:abstractNumId w:val="11"/>
  </w:num>
  <w:num w:numId="7" w16cid:durableId="924650335">
    <w:abstractNumId w:val="4"/>
  </w:num>
  <w:num w:numId="8" w16cid:durableId="1426263377">
    <w:abstractNumId w:val="0"/>
  </w:num>
  <w:num w:numId="9" w16cid:durableId="2114930343">
    <w:abstractNumId w:val="6"/>
  </w:num>
  <w:num w:numId="10" w16cid:durableId="1086226025">
    <w:abstractNumId w:val="8"/>
  </w:num>
  <w:num w:numId="11" w16cid:durableId="3286291">
    <w:abstractNumId w:val="10"/>
  </w:num>
  <w:num w:numId="12" w16cid:durableId="1753354889">
    <w:abstractNumId w:val="5"/>
  </w:num>
  <w:num w:numId="13" w16cid:durableId="5473796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215"/>
    <w:rsid w:val="00001AD1"/>
    <w:rsid w:val="0000652D"/>
    <w:rsid w:val="00010EFA"/>
    <w:rsid w:val="00024ED2"/>
    <w:rsid w:val="0002717D"/>
    <w:rsid w:val="00027DB4"/>
    <w:rsid w:val="00033098"/>
    <w:rsid w:val="0003483D"/>
    <w:rsid w:val="00035D4E"/>
    <w:rsid w:val="00041CE9"/>
    <w:rsid w:val="000475CF"/>
    <w:rsid w:val="000609B4"/>
    <w:rsid w:val="00064705"/>
    <w:rsid w:val="00067FF0"/>
    <w:rsid w:val="000833D9"/>
    <w:rsid w:val="000A6D70"/>
    <w:rsid w:val="000C1A2B"/>
    <w:rsid w:val="000C55E5"/>
    <w:rsid w:val="000E2D01"/>
    <w:rsid w:val="000E4AFA"/>
    <w:rsid w:val="000E60B0"/>
    <w:rsid w:val="000F7417"/>
    <w:rsid w:val="00101EBE"/>
    <w:rsid w:val="001040F6"/>
    <w:rsid w:val="001138A4"/>
    <w:rsid w:val="00123389"/>
    <w:rsid w:val="00130234"/>
    <w:rsid w:val="0013581A"/>
    <w:rsid w:val="00165599"/>
    <w:rsid w:val="00171BB6"/>
    <w:rsid w:val="001747E4"/>
    <w:rsid w:val="00175831"/>
    <w:rsid w:val="00175C9E"/>
    <w:rsid w:val="00184EED"/>
    <w:rsid w:val="0018709C"/>
    <w:rsid w:val="001912BA"/>
    <w:rsid w:val="00197146"/>
    <w:rsid w:val="001A0FFD"/>
    <w:rsid w:val="001B44F3"/>
    <w:rsid w:val="001C54B3"/>
    <w:rsid w:val="001D5DD0"/>
    <w:rsid w:val="001E6178"/>
    <w:rsid w:val="001E72BC"/>
    <w:rsid w:val="00200681"/>
    <w:rsid w:val="002063DB"/>
    <w:rsid w:val="00210F16"/>
    <w:rsid w:val="002131EC"/>
    <w:rsid w:val="00214093"/>
    <w:rsid w:val="0022362B"/>
    <w:rsid w:val="00235860"/>
    <w:rsid w:val="002448F2"/>
    <w:rsid w:val="00246EE2"/>
    <w:rsid w:val="00252D88"/>
    <w:rsid w:val="00253407"/>
    <w:rsid w:val="00254185"/>
    <w:rsid w:val="0026345D"/>
    <w:rsid w:val="0027637D"/>
    <w:rsid w:val="00276E76"/>
    <w:rsid w:val="002912B5"/>
    <w:rsid w:val="002919F6"/>
    <w:rsid w:val="002944FD"/>
    <w:rsid w:val="002A730D"/>
    <w:rsid w:val="002B3517"/>
    <w:rsid w:val="002B5108"/>
    <w:rsid w:val="002B6D22"/>
    <w:rsid w:val="002B78CB"/>
    <w:rsid w:val="002C2A5B"/>
    <w:rsid w:val="002C56C0"/>
    <w:rsid w:val="002D0544"/>
    <w:rsid w:val="002D4CCA"/>
    <w:rsid w:val="00306336"/>
    <w:rsid w:val="003131E7"/>
    <w:rsid w:val="00315116"/>
    <w:rsid w:val="003174AC"/>
    <w:rsid w:val="00321490"/>
    <w:rsid w:val="00321E97"/>
    <w:rsid w:val="003243FD"/>
    <w:rsid w:val="00327762"/>
    <w:rsid w:val="003322BD"/>
    <w:rsid w:val="003342BD"/>
    <w:rsid w:val="00344FFB"/>
    <w:rsid w:val="00345918"/>
    <w:rsid w:val="00351B27"/>
    <w:rsid w:val="003530E7"/>
    <w:rsid w:val="0035687B"/>
    <w:rsid w:val="00364690"/>
    <w:rsid w:val="00384769"/>
    <w:rsid w:val="003871E9"/>
    <w:rsid w:val="00390B0C"/>
    <w:rsid w:val="0039696B"/>
    <w:rsid w:val="003D1329"/>
    <w:rsid w:val="003D5BAC"/>
    <w:rsid w:val="003D6F22"/>
    <w:rsid w:val="003F37AC"/>
    <w:rsid w:val="0040631E"/>
    <w:rsid w:val="00434E7E"/>
    <w:rsid w:val="00437AA3"/>
    <w:rsid w:val="00442BAD"/>
    <w:rsid w:val="00452CEC"/>
    <w:rsid w:val="00453694"/>
    <w:rsid w:val="004620F6"/>
    <w:rsid w:val="00467E32"/>
    <w:rsid w:val="004726F8"/>
    <w:rsid w:val="004756D1"/>
    <w:rsid w:val="004819BD"/>
    <w:rsid w:val="00484D20"/>
    <w:rsid w:val="00487643"/>
    <w:rsid w:val="00491287"/>
    <w:rsid w:val="00491F53"/>
    <w:rsid w:val="00496AB1"/>
    <w:rsid w:val="004970A4"/>
    <w:rsid w:val="004A188F"/>
    <w:rsid w:val="004A611B"/>
    <w:rsid w:val="004A6746"/>
    <w:rsid w:val="004C33F8"/>
    <w:rsid w:val="004C5089"/>
    <w:rsid w:val="004C7C27"/>
    <w:rsid w:val="004E41A7"/>
    <w:rsid w:val="004F7C12"/>
    <w:rsid w:val="00500062"/>
    <w:rsid w:val="005037CD"/>
    <w:rsid w:val="00507A37"/>
    <w:rsid w:val="00517A61"/>
    <w:rsid w:val="00523AE8"/>
    <w:rsid w:val="0053120D"/>
    <w:rsid w:val="00542AE1"/>
    <w:rsid w:val="0054305C"/>
    <w:rsid w:val="00562A75"/>
    <w:rsid w:val="00565944"/>
    <w:rsid w:val="00573681"/>
    <w:rsid w:val="00573B0D"/>
    <w:rsid w:val="00592617"/>
    <w:rsid w:val="005A17EC"/>
    <w:rsid w:val="005B0AAF"/>
    <w:rsid w:val="005B313C"/>
    <w:rsid w:val="005B5869"/>
    <w:rsid w:val="005C6ADE"/>
    <w:rsid w:val="005C7DDC"/>
    <w:rsid w:val="005F7014"/>
    <w:rsid w:val="00601938"/>
    <w:rsid w:val="00601BF2"/>
    <w:rsid w:val="006056F1"/>
    <w:rsid w:val="006069AE"/>
    <w:rsid w:val="00607714"/>
    <w:rsid w:val="00607781"/>
    <w:rsid w:val="00614BD4"/>
    <w:rsid w:val="00624E18"/>
    <w:rsid w:val="006258DC"/>
    <w:rsid w:val="00625BD2"/>
    <w:rsid w:val="00642889"/>
    <w:rsid w:val="00645247"/>
    <w:rsid w:val="00646262"/>
    <w:rsid w:val="00655F79"/>
    <w:rsid w:val="00662692"/>
    <w:rsid w:val="00672062"/>
    <w:rsid w:val="0067615B"/>
    <w:rsid w:val="00684D82"/>
    <w:rsid w:val="00687875"/>
    <w:rsid w:val="006A2A5B"/>
    <w:rsid w:val="006A3B42"/>
    <w:rsid w:val="006A518E"/>
    <w:rsid w:val="006C30D2"/>
    <w:rsid w:val="006D22D2"/>
    <w:rsid w:val="006D252F"/>
    <w:rsid w:val="006D2FE0"/>
    <w:rsid w:val="006E3CC2"/>
    <w:rsid w:val="006E50D5"/>
    <w:rsid w:val="006E6D4A"/>
    <w:rsid w:val="006E7D6C"/>
    <w:rsid w:val="00701F03"/>
    <w:rsid w:val="00703E1B"/>
    <w:rsid w:val="00713F50"/>
    <w:rsid w:val="00714CBE"/>
    <w:rsid w:val="00721683"/>
    <w:rsid w:val="00721C1C"/>
    <w:rsid w:val="007227A9"/>
    <w:rsid w:val="00723A33"/>
    <w:rsid w:val="0072528E"/>
    <w:rsid w:val="0073409C"/>
    <w:rsid w:val="007368AD"/>
    <w:rsid w:val="00740207"/>
    <w:rsid w:val="0074060E"/>
    <w:rsid w:val="007412F4"/>
    <w:rsid w:val="00743927"/>
    <w:rsid w:val="0075708F"/>
    <w:rsid w:val="007619C4"/>
    <w:rsid w:val="00766546"/>
    <w:rsid w:val="00771434"/>
    <w:rsid w:val="00794313"/>
    <w:rsid w:val="0079486A"/>
    <w:rsid w:val="007A51DB"/>
    <w:rsid w:val="007A6612"/>
    <w:rsid w:val="007B580E"/>
    <w:rsid w:val="007D3577"/>
    <w:rsid w:val="007D54E4"/>
    <w:rsid w:val="007E1DF2"/>
    <w:rsid w:val="007E27FE"/>
    <w:rsid w:val="00813F30"/>
    <w:rsid w:val="0081537E"/>
    <w:rsid w:val="0082088F"/>
    <w:rsid w:val="008230E6"/>
    <w:rsid w:val="0082502F"/>
    <w:rsid w:val="00840BEE"/>
    <w:rsid w:val="0087164E"/>
    <w:rsid w:val="00871793"/>
    <w:rsid w:val="00880C0E"/>
    <w:rsid w:val="00882EC8"/>
    <w:rsid w:val="00885618"/>
    <w:rsid w:val="0089053A"/>
    <w:rsid w:val="008958D9"/>
    <w:rsid w:val="008962DC"/>
    <w:rsid w:val="008A5B07"/>
    <w:rsid w:val="008A7A5C"/>
    <w:rsid w:val="008B1419"/>
    <w:rsid w:val="008B5CAD"/>
    <w:rsid w:val="008E42D9"/>
    <w:rsid w:val="008E4B6F"/>
    <w:rsid w:val="008E4DA6"/>
    <w:rsid w:val="008E6D77"/>
    <w:rsid w:val="009006D5"/>
    <w:rsid w:val="00902D3A"/>
    <w:rsid w:val="0090663B"/>
    <w:rsid w:val="009124CB"/>
    <w:rsid w:val="0092039B"/>
    <w:rsid w:val="0092063B"/>
    <w:rsid w:val="009328E4"/>
    <w:rsid w:val="00940B3D"/>
    <w:rsid w:val="0095620C"/>
    <w:rsid w:val="0096066E"/>
    <w:rsid w:val="00977646"/>
    <w:rsid w:val="009801D6"/>
    <w:rsid w:val="0099261F"/>
    <w:rsid w:val="00994203"/>
    <w:rsid w:val="009944A9"/>
    <w:rsid w:val="0099504C"/>
    <w:rsid w:val="009B23A1"/>
    <w:rsid w:val="009B2FD4"/>
    <w:rsid w:val="009C4FB0"/>
    <w:rsid w:val="009E4886"/>
    <w:rsid w:val="009E51CC"/>
    <w:rsid w:val="009E6A52"/>
    <w:rsid w:val="009F15CF"/>
    <w:rsid w:val="009F5958"/>
    <w:rsid w:val="009F6865"/>
    <w:rsid w:val="00A00287"/>
    <w:rsid w:val="00A02604"/>
    <w:rsid w:val="00A038A0"/>
    <w:rsid w:val="00A05093"/>
    <w:rsid w:val="00A05FE0"/>
    <w:rsid w:val="00A173AD"/>
    <w:rsid w:val="00A26AAC"/>
    <w:rsid w:val="00A274F4"/>
    <w:rsid w:val="00A27F41"/>
    <w:rsid w:val="00A30DAB"/>
    <w:rsid w:val="00A37EDD"/>
    <w:rsid w:val="00A4235D"/>
    <w:rsid w:val="00A619FB"/>
    <w:rsid w:val="00A6534C"/>
    <w:rsid w:val="00A65C72"/>
    <w:rsid w:val="00A75363"/>
    <w:rsid w:val="00A75B32"/>
    <w:rsid w:val="00A807CB"/>
    <w:rsid w:val="00A81B3B"/>
    <w:rsid w:val="00A86493"/>
    <w:rsid w:val="00A922FB"/>
    <w:rsid w:val="00A9367F"/>
    <w:rsid w:val="00A94E9C"/>
    <w:rsid w:val="00A953B5"/>
    <w:rsid w:val="00AA0498"/>
    <w:rsid w:val="00AA708E"/>
    <w:rsid w:val="00AB275E"/>
    <w:rsid w:val="00AC1250"/>
    <w:rsid w:val="00AC6835"/>
    <w:rsid w:val="00AD35EB"/>
    <w:rsid w:val="00AD7F48"/>
    <w:rsid w:val="00AE101D"/>
    <w:rsid w:val="00AF2D7C"/>
    <w:rsid w:val="00B04133"/>
    <w:rsid w:val="00B044B0"/>
    <w:rsid w:val="00B12381"/>
    <w:rsid w:val="00B17BD6"/>
    <w:rsid w:val="00B17E71"/>
    <w:rsid w:val="00B352E4"/>
    <w:rsid w:val="00B36609"/>
    <w:rsid w:val="00B4619A"/>
    <w:rsid w:val="00B46829"/>
    <w:rsid w:val="00B4793F"/>
    <w:rsid w:val="00B61AB1"/>
    <w:rsid w:val="00B671A8"/>
    <w:rsid w:val="00B73F76"/>
    <w:rsid w:val="00BA203C"/>
    <w:rsid w:val="00BA34EC"/>
    <w:rsid w:val="00BC3F7E"/>
    <w:rsid w:val="00BD5361"/>
    <w:rsid w:val="00BD7546"/>
    <w:rsid w:val="00BF01FA"/>
    <w:rsid w:val="00BF1D28"/>
    <w:rsid w:val="00C03B13"/>
    <w:rsid w:val="00C100A8"/>
    <w:rsid w:val="00C14400"/>
    <w:rsid w:val="00C15BC8"/>
    <w:rsid w:val="00C16B9D"/>
    <w:rsid w:val="00C23076"/>
    <w:rsid w:val="00C23C86"/>
    <w:rsid w:val="00C24715"/>
    <w:rsid w:val="00C31A8E"/>
    <w:rsid w:val="00C321EA"/>
    <w:rsid w:val="00C32DEE"/>
    <w:rsid w:val="00C3617C"/>
    <w:rsid w:val="00C4547D"/>
    <w:rsid w:val="00C47C9D"/>
    <w:rsid w:val="00C51D26"/>
    <w:rsid w:val="00C5602B"/>
    <w:rsid w:val="00C6597B"/>
    <w:rsid w:val="00C8256D"/>
    <w:rsid w:val="00C860CE"/>
    <w:rsid w:val="00C906DC"/>
    <w:rsid w:val="00C96786"/>
    <w:rsid w:val="00CA0958"/>
    <w:rsid w:val="00CA14D8"/>
    <w:rsid w:val="00CA154A"/>
    <w:rsid w:val="00CA445B"/>
    <w:rsid w:val="00CC005E"/>
    <w:rsid w:val="00CC77AC"/>
    <w:rsid w:val="00CD0083"/>
    <w:rsid w:val="00CD39C0"/>
    <w:rsid w:val="00CF61E0"/>
    <w:rsid w:val="00D175AF"/>
    <w:rsid w:val="00D207E0"/>
    <w:rsid w:val="00D31365"/>
    <w:rsid w:val="00D367B6"/>
    <w:rsid w:val="00D375C3"/>
    <w:rsid w:val="00D4121F"/>
    <w:rsid w:val="00D5042F"/>
    <w:rsid w:val="00D56DCA"/>
    <w:rsid w:val="00D628CB"/>
    <w:rsid w:val="00D77377"/>
    <w:rsid w:val="00D827BA"/>
    <w:rsid w:val="00D911C8"/>
    <w:rsid w:val="00D97569"/>
    <w:rsid w:val="00DA1032"/>
    <w:rsid w:val="00DA6279"/>
    <w:rsid w:val="00DA69B6"/>
    <w:rsid w:val="00DB6252"/>
    <w:rsid w:val="00DB67BA"/>
    <w:rsid w:val="00DB6D14"/>
    <w:rsid w:val="00DC2855"/>
    <w:rsid w:val="00DF05AD"/>
    <w:rsid w:val="00DF5554"/>
    <w:rsid w:val="00E04F49"/>
    <w:rsid w:val="00E113A7"/>
    <w:rsid w:val="00E223DA"/>
    <w:rsid w:val="00E2268C"/>
    <w:rsid w:val="00E27730"/>
    <w:rsid w:val="00E30EFB"/>
    <w:rsid w:val="00E35087"/>
    <w:rsid w:val="00E365AE"/>
    <w:rsid w:val="00E4338B"/>
    <w:rsid w:val="00E44FA9"/>
    <w:rsid w:val="00E47CE2"/>
    <w:rsid w:val="00E50CD3"/>
    <w:rsid w:val="00E55A33"/>
    <w:rsid w:val="00E65654"/>
    <w:rsid w:val="00E66D71"/>
    <w:rsid w:val="00E77262"/>
    <w:rsid w:val="00E84C6F"/>
    <w:rsid w:val="00E86CAF"/>
    <w:rsid w:val="00EB2E2B"/>
    <w:rsid w:val="00EC5F6E"/>
    <w:rsid w:val="00ED0D11"/>
    <w:rsid w:val="00EE682D"/>
    <w:rsid w:val="00EF1F22"/>
    <w:rsid w:val="00EF61B2"/>
    <w:rsid w:val="00EF61D5"/>
    <w:rsid w:val="00F115B7"/>
    <w:rsid w:val="00F15929"/>
    <w:rsid w:val="00F31660"/>
    <w:rsid w:val="00F426C2"/>
    <w:rsid w:val="00F45E57"/>
    <w:rsid w:val="00F50BD9"/>
    <w:rsid w:val="00F70D60"/>
    <w:rsid w:val="00F70F07"/>
    <w:rsid w:val="00F83727"/>
    <w:rsid w:val="00F8669B"/>
    <w:rsid w:val="00F87723"/>
    <w:rsid w:val="00F94F35"/>
    <w:rsid w:val="00FA0993"/>
    <w:rsid w:val="00FB1A12"/>
    <w:rsid w:val="00FC30EE"/>
    <w:rsid w:val="00FC55F9"/>
    <w:rsid w:val="00FF4F2E"/>
    <w:rsid w:val="00FF5DE4"/>
    <w:rsid w:val="095BF36A"/>
    <w:rsid w:val="32782D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1A0FFD"/>
    <w:rPr>
      <w:sz w:val="16"/>
      <w:szCs w:val="16"/>
    </w:rPr>
  </w:style>
  <w:style w:type="paragraph" w:styleId="Tekstopmerking">
    <w:name w:val="annotation text"/>
    <w:basedOn w:val="Standaard"/>
    <w:link w:val="TekstopmerkingChar"/>
    <w:uiPriority w:val="99"/>
    <w:unhideWhenUsed/>
    <w:rsid w:val="001A0FFD"/>
    <w:pPr>
      <w:spacing w:line="240" w:lineRule="auto"/>
    </w:pPr>
    <w:rPr>
      <w:sz w:val="20"/>
      <w:szCs w:val="20"/>
    </w:rPr>
  </w:style>
  <w:style w:type="character" w:customStyle="1" w:styleId="TekstopmerkingChar">
    <w:name w:val="Tekst opmerking Char"/>
    <w:basedOn w:val="Standaardalinea-lettertype"/>
    <w:link w:val="Tekstopmerking"/>
    <w:uiPriority w:val="99"/>
    <w:rsid w:val="001A0FFD"/>
    <w:rPr>
      <w:color w:val="545960"/>
      <w:sz w:val="20"/>
      <w:szCs w:val="20"/>
    </w:rPr>
  </w:style>
  <w:style w:type="paragraph" w:styleId="Onderwerpvanopmerking">
    <w:name w:val="annotation subject"/>
    <w:basedOn w:val="Tekstopmerking"/>
    <w:next w:val="Tekstopmerking"/>
    <w:link w:val="OnderwerpvanopmerkingChar"/>
    <w:uiPriority w:val="99"/>
    <w:semiHidden/>
    <w:unhideWhenUsed/>
    <w:rsid w:val="001A0FFD"/>
    <w:rPr>
      <w:b/>
      <w:bCs/>
    </w:rPr>
  </w:style>
  <w:style w:type="character" w:customStyle="1" w:styleId="OnderwerpvanopmerkingChar">
    <w:name w:val="Onderwerp van opmerking Char"/>
    <w:basedOn w:val="TekstopmerkingChar"/>
    <w:link w:val="Onderwerpvanopmerking"/>
    <w:uiPriority w:val="99"/>
    <w:semiHidden/>
    <w:rsid w:val="001A0FFD"/>
    <w:rPr>
      <w:b/>
      <w:bCs/>
      <w:color w:val="545960"/>
      <w:sz w:val="20"/>
      <w:szCs w:val="20"/>
    </w:rPr>
  </w:style>
  <w:style w:type="paragraph" w:styleId="Ballontekst">
    <w:name w:val="Balloon Text"/>
    <w:basedOn w:val="Standaard"/>
    <w:link w:val="BallontekstChar"/>
    <w:uiPriority w:val="99"/>
    <w:semiHidden/>
    <w:unhideWhenUsed/>
    <w:rsid w:val="001A0FF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0FFD"/>
    <w:rPr>
      <w:rFonts w:ascii="Segoe UI" w:hAnsi="Segoe UI" w:cs="Segoe UI"/>
      <w:color w:val="54596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44479">
      <w:bodyDiv w:val="1"/>
      <w:marLeft w:val="0"/>
      <w:marRight w:val="0"/>
      <w:marTop w:val="0"/>
      <w:marBottom w:val="0"/>
      <w:divBdr>
        <w:top w:val="none" w:sz="0" w:space="0" w:color="auto"/>
        <w:left w:val="none" w:sz="0" w:space="0" w:color="auto"/>
        <w:bottom w:val="none" w:sz="0" w:space="0" w:color="auto"/>
        <w:right w:val="none" w:sz="0" w:space="0" w:color="auto"/>
      </w:divBdr>
    </w:div>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1343820868">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78638978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 w:id="1999141569">
      <w:bodyDiv w:val="1"/>
      <w:marLeft w:val="0"/>
      <w:marRight w:val="0"/>
      <w:marTop w:val="0"/>
      <w:marBottom w:val="0"/>
      <w:divBdr>
        <w:top w:val="none" w:sz="0" w:space="0" w:color="auto"/>
        <w:left w:val="none" w:sz="0" w:space="0" w:color="auto"/>
        <w:bottom w:val="none" w:sz="0" w:space="0" w:color="auto"/>
        <w:right w:val="none" w:sz="0" w:space="0" w:color="auto"/>
      </w:divBdr>
      <w:divsChild>
        <w:div w:id="1157763790">
          <w:marLeft w:val="288"/>
          <w:marRight w:val="0"/>
          <w:marTop w:val="0"/>
          <w:marBottom w:val="0"/>
          <w:divBdr>
            <w:top w:val="none" w:sz="0" w:space="0" w:color="auto"/>
            <w:left w:val="none" w:sz="0" w:space="0" w:color="auto"/>
            <w:bottom w:val="none" w:sz="0" w:space="0" w:color="auto"/>
            <w:right w:val="none" w:sz="0" w:space="0" w:color="auto"/>
          </w:divBdr>
        </w:div>
        <w:div w:id="433332803">
          <w:marLeft w:val="288"/>
          <w:marRight w:val="0"/>
          <w:marTop w:val="0"/>
          <w:marBottom w:val="0"/>
          <w:divBdr>
            <w:top w:val="none" w:sz="0" w:space="0" w:color="auto"/>
            <w:left w:val="none" w:sz="0" w:space="0" w:color="auto"/>
            <w:bottom w:val="none" w:sz="0" w:space="0" w:color="auto"/>
            <w:right w:val="none" w:sz="0" w:space="0" w:color="auto"/>
          </w:divBdr>
        </w:div>
        <w:div w:id="2070766658">
          <w:marLeft w:val="562"/>
          <w:marRight w:val="0"/>
          <w:marTop w:val="0"/>
          <w:marBottom w:val="0"/>
          <w:divBdr>
            <w:top w:val="none" w:sz="0" w:space="0" w:color="auto"/>
            <w:left w:val="none" w:sz="0" w:space="0" w:color="auto"/>
            <w:bottom w:val="none" w:sz="0" w:space="0" w:color="auto"/>
            <w:right w:val="none" w:sz="0" w:space="0" w:color="auto"/>
          </w:divBdr>
        </w:div>
        <w:div w:id="795291233">
          <w:marLeft w:val="562"/>
          <w:marRight w:val="0"/>
          <w:marTop w:val="0"/>
          <w:marBottom w:val="0"/>
          <w:divBdr>
            <w:top w:val="none" w:sz="0" w:space="0" w:color="auto"/>
            <w:left w:val="none" w:sz="0" w:space="0" w:color="auto"/>
            <w:bottom w:val="none" w:sz="0" w:space="0" w:color="auto"/>
            <w:right w:val="none" w:sz="0" w:space="0" w:color="auto"/>
          </w:divBdr>
        </w:div>
        <w:div w:id="1936786973">
          <w:marLeft w:val="562"/>
          <w:marRight w:val="0"/>
          <w:marTop w:val="0"/>
          <w:marBottom w:val="0"/>
          <w:divBdr>
            <w:top w:val="none" w:sz="0" w:space="0" w:color="auto"/>
            <w:left w:val="none" w:sz="0" w:space="0" w:color="auto"/>
            <w:bottom w:val="none" w:sz="0" w:space="0" w:color="auto"/>
            <w:right w:val="none" w:sz="0" w:space="0" w:color="auto"/>
          </w:divBdr>
        </w:div>
        <w:div w:id="1439638238">
          <w:marLeft w:val="288"/>
          <w:marRight w:val="0"/>
          <w:marTop w:val="0"/>
          <w:marBottom w:val="0"/>
          <w:divBdr>
            <w:top w:val="none" w:sz="0" w:space="0" w:color="auto"/>
            <w:left w:val="none" w:sz="0" w:space="0" w:color="auto"/>
            <w:bottom w:val="none" w:sz="0" w:space="0" w:color="auto"/>
            <w:right w:val="none" w:sz="0" w:space="0" w:color="auto"/>
          </w:divBdr>
        </w:div>
        <w:div w:id="827401105">
          <w:marLeft w:val="562"/>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eckman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2.xml><?xml version="1.0" encoding="utf-8"?>
<ds:datastoreItem xmlns:ds="http://schemas.openxmlformats.org/officeDocument/2006/customXml" ds:itemID="{A119E642-23C0-4C96-B66C-F7FDCCADCEA4}">
  <ds:schemaRefs>
    <ds:schemaRef ds:uri="http://schemas.openxmlformats.org/officeDocument/2006/bibliography"/>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77921A75-D987-4239-98C7-C38DFAA1E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709</Words>
  <Characters>3900</Characters>
  <Application>Microsoft Office Word</Application>
  <DocSecurity>0</DocSecurity>
  <Lines>32</Lines>
  <Paragraphs>9</Paragraphs>
  <ScaleCrop>false</ScaleCrop>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47</cp:revision>
  <dcterms:created xsi:type="dcterms:W3CDTF">2020-05-07T13:47:00Z</dcterms:created>
  <dcterms:modified xsi:type="dcterms:W3CDTF">2023-07-06T17:07:00Z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